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800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ge">
                  <wp:posOffset>2067560</wp:posOffset>
                </wp:positionV>
                <wp:extent cx="5588000" cy="11029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spacing w:val="12"/>
                                <w:w w:val="66"/>
                                <w:kern w:val="15"/>
                                <w:sz w:val="108"/>
                                <w:szCs w:val="108"/>
                              </w:rPr>
                            </w:pPr>
                            <w:bookmarkStart w:id="3" w:name="RedHead"/>
                            <w:r>
                              <w:rPr>
                                <w:rFonts w:hint="eastAsia" w:ascii="方正小标宋简体" w:hAnsi="Batang" w:eastAsia="方正小标宋简体" w:cs="Arial"/>
                                <w:b/>
                                <w:bCs/>
                                <w:color w:val="FF0000"/>
                                <w:spacing w:val="12"/>
                                <w:w w:val="66"/>
                                <w:kern w:val="15"/>
                                <w:sz w:val="108"/>
                                <w:szCs w:val="108"/>
                              </w:rPr>
                              <w:t xml:space="preserve">福建省科学技术厅文件         </w:t>
                            </w:r>
                            <w:bookmarkEnd w:id="3"/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162.8pt;height:86.85pt;width:440pt;mso-position-vertical-relative:page;z-index:251662336;mso-width-relative:page;mso-height-relative:page;" filled="f" stroked="f" coordsize="21600,21600" o:gfxdata="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Tt5gNkAAAAKAQAADwAAAAAAAAABACAAAAAiAAAAZHJzL2Rvd25yZXYueG1sUEsB&#10;AhQAFAAAAAgAh07iQHSwkgm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spacing w:val="12"/>
                          <w:w w:val="66"/>
                          <w:kern w:val="15"/>
                          <w:sz w:val="108"/>
                          <w:szCs w:val="108"/>
                        </w:rPr>
                      </w:pPr>
                      <w:bookmarkStart w:id="3" w:name="RedHead"/>
                      <w:r>
                        <w:rPr>
                          <w:rFonts w:hint="eastAsia" w:ascii="方正小标宋简体" w:hAnsi="Batang" w:eastAsia="方正小标宋简体" w:cs="Arial"/>
                          <w:b/>
                          <w:bCs/>
                          <w:color w:val="FF0000"/>
                          <w:spacing w:val="12"/>
                          <w:w w:val="66"/>
                          <w:kern w:val="15"/>
                          <w:sz w:val="108"/>
                          <w:szCs w:val="108"/>
                        </w:rPr>
                        <w:t xml:space="preserve">福建省科学技术厅文件         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314325</wp:posOffset>
                </wp:positionV>
                <wp:extent cx="2235200" cy="3822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20" w:firstLineChars="100"/>
                            </w:pPr>
                            <w:bookmarkStart w:id="4" w:name="REPE_dispatchnumber"/>
                            <w:r>
                              <w:rPr>
                                <w:rFonts w:hint="default" w:ascii="仿宋_GB2312" w:hAnsi="宋体"/>
                                <w:bCs/>
                                <w:lang w:val="en" w:eastAsia="zh-CN"/>
                              </w:rPr>
                              <w:t>闽科资〔2021〕14号</w:t>
                            </w:r>
                            <w:bookmarkEnd w:id="4"/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24.75pt;height:30.1pt;width:176pt;z-index:251661312;mso-width-relative:page;mso-height-relative:page;" filled="f" stroked="f" coordsize="21600,21600" o:gfxdata="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nJuxnaAAAACgEAAA8AAAAAAAAAAQAgAAAAIgAAAGRycy9kb3ducmV2&#10;LnhtbFBLAQIUABQAAAAIAIdO4kBA62bKwQEAAHo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ind w:firstLine="320" w:firstLineChars="100"/>
                      </w:pPr>
                      <w:bookmarkStart w:id="4" w:name="REPE_dispatchnumber"/>
                      <w:r>
                        <w:rPr>
                          <w:rFonts w:hint="default" w:ascii="仿宋_GB2312" w:hAnsi="宋体"/>
                          <w:bCs/>
                          <w:lang w:val="en" w:eastAsia="zh-CN"/>
                        </w:rPr>
                        <w:t>闽科资〔2021〕14号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  <w:lang w:eastAsia="zh-CN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600700" cy="0"/>
                <wp:effectExtent l="0" t="15875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solidFill>
                          <a:srgbClr val="FF0000"/>
                        </a:solidFill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2.65pt;height:0pt;width:441pt;z-index:251660288;mso-width-relative:page;mso-height-relative:page;" fillcolor="#FF0000" filled="t" stroked="t" coordsize="21600,21600" o:gfxdata="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7u6wdMAAAAGAQAADwAAAAAAAAABACAAAAAiAAAAZHJzL2Rvd25yZXYueG1s&#10;UEsBAhQAFAAAAAgAh07iQMyzRQn9AQAAGQQAAA4AAAAAAAAAAQAgAAAAIgEAAGRycy9lMm9Eb2Mu&#10;eG1sUEsFBgAAAAAGAAYAWQEAAJEFAAAAAA==&#10;">
                <v:fill on="t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600" w:lineRule="exac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dispatchname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福建省科学技术厅关于印发</w:t>
      </w:r>
      <w:bookmarkStart w:id="5" w:name="_GoBack"/>
      <w:bookmarkEnd w:id="5"/>
    </w:p>
    <w:p>
      <w:pPr>
        <w:snapToGrid w:val="0"/>
        <w:spacing w:line="600" w:lineRule="exac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《福建省科技专家库管理办法》的通知</w:t>
      </w:r>
      <w:bookmarkEnd w:id="0"/>
    </w:p>
    <w:p>
      <w:pPr>
        <w:spacing w:line="600" w:lineRule="exact"/>
        <w:rPr>
          <w:rFonts w:hint="eastAsia" w:ascii="仿宋_GB2312" w:hAnsi="Dotum"/>
          <w:bCs/>
          <w:lang w:eastAsia="zh-CN"/>
        </w:rPr>
      </w:pPr>
      <w:bookmarkStart w:id="1" w:name="maindelivery"/>
    </w:p>
    <w:p>
      <w:pPr>
        <w:spacing w:line="480" w:lineRule="exact"/>
        <w:rPr>
          <w:rFonts w:hint="eastAsia" w:ascii="仿宋_GB2312" w:hAnsi="Dotum"/>
          <w:sz w:val="18"/>
          <w:szCs w:val="18"/>
        </w:rPr>
      </w:pPr>
      <w:r>
        <w:rPr>
          <w:rFonts w:hint="eastAsia" w:ascii="仿宋_GB2312" w:hAnsi="Dotum"/>
          <w:bCs/>
          <w:lang w:eastAsia="zh-CN"/>
        </w:rPr>
        <w:t>各有关单位</w:t>
      </w:r>
      <w:bookmarkEnd w:id="1"/>
      <w:r>
        <w:rPr>
          <w:rFonts w:hint="eastAsia" w:ascii="仿宋_GB2312" w:hAnsi="Dotum"/>
          <w:bCs/>
        </w:rPr>
        <w:t>：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</w:pPr>
      <w:bookmarkStart w:id="2" w:name="MainBody"/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为</w:t>
      </w:r>
      <w: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  <w:t>发挥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好</w:t>
      </w:r>
      <w: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  <w:t>科技专家在科技创新中的决策咨询作用，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提升科技管理和服务水平，贯彻落实《中共福建省委办公厅、福建省人民政府办公厅印发〈关于深化项目评审、人才评价、机构评估改革的实施意见〉的通知》（闽委办发〔2018〕30号）文件精神，我厅制定了《福建省科技专家库管理办法》，现印发给你们，请遵照执行。</w:t>
      </w:r>
    </w:p>
    <w:p>
      <w:pPr>
        <w:pStyle w:val="8"/>
        <w:overflowPunct w:val="0"/>
        <w:spacing w:line="700" w:lineRule="exact"/>
        <w:rPr>
          <w:rFonts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</w:pPr>
    </w:p>
    <w:p>
      <w:pPr>
        <w:pStyle w:val="8"/>
        <w:overflowPunct w:val="0"/>
        <w:spacing w:line="560" w:lineRule="exact"/>
        <w:ind w:firstLine="4960" w:firstLineChars="1550"/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  <w:t>福建省科学技术厅</w:t>
      </w:r>
    </w:p>
    <w:p>
      <w:pPr>
        <w:pStyle w:val="8"/>
        <w:overflowPunct w:val="0"/>
        <w:spacing w:line="560" w:lineRule="exact"/>
        <w:ind w:firstLine="5120" w:firstLineChars="1600"/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Times New Roman"/>
          <w:bCs/>
          <w:color w:val="000000"/>
          <w:sz w:val="32"/>
          <w:szCs w:val="32"/>
          <w:shd w:val="clear" w:color="auto" w:fill="FFFFFF"/>
          <w:lang w:val="en"/>
        </w:rPr>
        <w:t>5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  <w:t>日</w:t>
      </w:r>
    </w:p>
    <w:p>
      <w:pPr>
        <w:pStyle w:val="8"/>
        <w:overflowPunct w:val="0"/>
        <w:spacing w:line="560" w:lineRule="exact"/>
        <w:ind w:firstLine="640" w:firstLineChars="200"/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  <w:shd w:val="clear" w:color="auto" w:fill="FFFFFF"/>
        </w:rPr>
        <w:t>（此件主动公开）</w:t>
      </w:r>
    </w:p>
    <w:p>
      <w:pPr>
        <w:pStyle w:val="8"/>
        <w:overflowPunct w:val="0"/>
        <w:spacing w:line="7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福建省科技专家库管理办法</w:t>
      </w:r>
    </w:p>
    <w:p>
      <w:pPr>
        <w:pStyle w:val="8"/>
        <w:overflowPunct w:val="0"/>
        <w:spacing w:line="600" w:lineRule="exact"/>
        <w:jc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总则</w:t>
      </w:r>
    </w:p>
    <w:p>
      <w:pPr>
        <w:pStyle w:val="8"/>
        <w:tabs>
          <w:tab w:val="left" w:pos="7513"/>
        </w:tabs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第一条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深化科技领域改革，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科技专家在科技创新中的决策咨询作用，进一步规范</w:t>
      </w:r>
      <w:r>
        <w:rPr>
          <w:rFonts w:hint="eastAsia" w:eastAsia="仿宋_GB2312"/>
          <w:snapToGrid w:val="0"/>
          <w:kern w:val="0"/>
          <w:sz w:val="32"/>
          <w:szCs w:val="32"/>
        </w:rPr>
        <w:t>科技管理工作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提升科技管理和服务水平，按照《中共福建省委办公厅、福建省人民政府办公厅印发〈关于深化项目评审、人才评价、机构评估改革的实施意见〉的通知》（闽委办发〔2018〕30号）文件精神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，制订本办法。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第二条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本办法所称科技专家是指服务于高校、科研院所、企业、社会团体和其他事业单位等并入选专家库的专家。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专家库集省内外高层次科技人才于一体，为全省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项目评审、人才评价、机构评估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等科技活动提供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决策服务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第三条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</w:t>
      </w:r>
      <w:r>
        <w:rPr>
          <w:rFonts w:ascii="仿宋_GB2312" w:eastAsia="仿宋_GB2312" w:cs="仿宋_GB2312"/>
          <w:kern w:val="0"/>
          <w:sz w:val="32"/>
          <w:szCs w:val="32"/>
          <w:lang w:bidi="ar"/>
        </w:rPr>
        <w:t>推动建设集中统一、标准规范、安全可靠、开放共享的省科技专家库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</w:t>
      </w:r>
      <w:r>
        <w:rPr>
          <w:rFonts w:hint="eastAsia" w:eastAsia="仿宋_GB2312"/>
          <w:snapToGrid w:val="0"/>
          <w:kern w:val="0"/>
          <w:sz w:val="32"/>
          <w:szCs w:val="32"/>
        </w:rPr>
        <w:t>负责专家库建设的总体部署和统筹协调，研究制定相关管理制度，开展专家库的建设工作。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省科技厅委托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第三方单位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负责专家库的日常运行维护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、注册审核、开发利用和信息安全等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工作。</w:t>
      </w:r>
    </w:p>
    <w:p>
      <w:pPr>
        <w:pStyle w:val="8"/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省科技厅和受其委托的机构开展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科技项目评审、人才评价、机构评估等工作所需的评审专家，应当按照本办法要求从专家库中选取使用。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专家库实行管理、使用、抽取相分离的原则。</w:t>
      </w:r>
    </w:p>
    <w:p>
      <w:pPr>
        <w:pStyle w:val="8"/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专家库建设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管理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专家库建设管理与使用相对分离。专家库使用部门在实际业务开展过程中提出专家库需求和改进建议。业务牵头部门作为建设管理方，汇总业务部门提出的专家库建设需求和建议，通过受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的第三方单位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不断开发、扩充、完善专家库。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专家库专家实行分类管理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，细化专家领域和研究方向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。按从事职业性质，专家库专家划分为技术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财务专家两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种类别。按专业水平、知名度和影响力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高低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，专家库专家划分为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高级专业技术职称人员评审专家、其他专业技术人员评审专家两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个层级。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第六条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专家入库时应满足以下基本条件和专业条件。</w:t>
      </w:r>
    </w:p>
    <w:p>
      <w:pPr>
        <w:pStyle w:val="8"/>
        <w:overflowPunct w:val="0"/>
        <w:spacing w:line="600" w:lineRule="exact"/>
        <w:ind w:firstLine="640" w:firstLineChars="200"/>
        <w:outlineLvl w:val="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（一）基本条件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1．具有良好的政治品质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、科学道德和职业道德，坚持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客观公正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、实事求是的科学态度，作风严谨，诚信廉洁地履行职责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身体健康，能够胜任所从事的业务工作，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且在时间上能够保证完成相关科技评审（咨询）工作；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3．不得是失信被执行人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列入项目管理资信“黑名单”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无科研失信和违纪违法行为。</w:t>
      </w:r>
    </w:p>
    <w:p>
      <w:pPr>
        <w:pStyle w:val="8"/>
        <w:overflowPunct w:val="0"/>
        <w:spacing w:line="600" w:lineRule="exact"/>
        <w:ind w:firstLine="640" w:firstLineChars="200"/>
        <w:outlineLvl w:val="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（二）专业条件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1．技术专家。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原则上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具有副高级及以上职称（或取得专业技术高级资格）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具有丰富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科研实践、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科技管理、企业管理或创业实践经验，熟悉相关领域科技研发与成果转化工作。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国家或省部级科技计划项目（课题）负责人，或是国家或省部级科技奖励获得者；研究成果突出的优秀青年学者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、青年博士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，或是高新技术企业、科技型企业等技术负责人或技术骨干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；负责行业技术管理的行政及事业单位负责人、经办等人员可以根据实际需要放宽入库职称要求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财务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专家。熟悉科技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经费管理制度，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具有会计、审计、经济专业副高级以上专业技术职称，或取得专业技术高级资格或水平证书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中级职称并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长期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从事相关行业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；省属及以上高校、科研院所财务（审计）部门负责人；上市公司、大型国有企业、市级及以上医院等财务部门负责人；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在银行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、证券、保险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、天使投资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或创业投资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等金融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机构具有5年以上实际工作经验的高级管理人员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可以根据实际需要放宽入库职称要求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七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专家入库采取个人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注册审核入库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和交换共享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种方式。</w:t>
      </w:r>
    </w:p>
    <w:p>
      <w:pPr>
        <w:pStyle w:val="8"/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（一）个人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注册审核入库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申请人可常年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福建省科技计划项目管理信息系统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在线注册。按照提示完成个人基本信息、从事专业、职务职称、工作经历、论文著作、科技奖励、知识产权情况等内容的填写，并上传职称证书等相关附件作为资质证明。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省科技厅委托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的第三方单位对个人注册信息审核后，定期将符合条件的专家纳入专家库管理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根据需要，省科技厅可主动邀请相关领域高水平专家注册审核入库。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二</w:t>
      </w:r>
      <w:r>
        <w:rPr>
          <w:rFonts w:eastAsia="仿宋_GB2312"/>
          <w:color w:val="000000"/>
          <w:sz w:val="32"/>
          <w:szCs w:val="32"/>
        </w:rPr>
        <w:t>）交换共享。与国内</w:t>
      </w:r>
      <w:r>
        <w:rPr>
          <w:rFonts w:hint="eastAsia" w:eastAsia="仿宋_GB2312"/>
          <w:color w:val="000000"/>
          <w:sz w:val="32"/>
          <w:szCs w:val="32"/>
        </w:rPr>
        <w:t>兄弟</w:t>
      </w:r>
      <w:r>
        <w:rPr>
          <w:rFonts w:eastAsia="仿宋_GB2312"/>
          <w:color w:val="000000"/>
          <w:sz w:val="32"/>
          <w:szCs w:val="32"/>
        </w:rPr>
        <w:t>省（市、区）建立科技专家资源共享</w:t>
      </w:r>
      <w:r>
        <w:rPr>
          <w:rFonts w:hint="eastAsia" w:eastAsia="仿宋_GB2312"/>
          <w:color w:val="000000"/>
          <w:sz w:val="32"/>
          <w:szCs w:val="32"/>
        </w:rPr>
        <w:t>机制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按照交换共享的原则积极</w:t>
      </w:r>
      <w:r>
        <w:rPr>
          <w:rFonts w:eastAsia="仿宋_GB2312"/>
          <w:color w:val="000000"/>
          <w:sz w:val="32"/>
          <w:szCs w:val="32"/>
        </w:rPr>
        <w:t>吸纳</w:t>
      </w:r>
      <w:r>
        <w:rPr>
          <w:rFonts w:hint="eastAsia" w:eastAsia="仿宋_GB2312"/>
          <w:color w:val="000000"/>
          <w:sz w:val="32"/>
          <w:szCs w:val="32"/>
        </w:rPr>
        <w:t>符合条件的省外</w:t>
      </w:r>
      <w:r>
        <w:rPr>
          <w:rFonts w:eastAsia="仿宋_GB2312"/>
          <w:color w:val="000000"/>
          <w:sz w:val="32"/>
          <w:szCs w:val="32"/>
        </w:rPr>
        <w:t>高层次及特定技术领域专家入库。</w:t>
      </w:r>
    </w:p>
    <w:p>
      <w:pPr>
        <w:ind w:firstLine="720" w:firstLineChars="225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hint="eastAsia" w:eastAsia="黑体"/>
          <w:color w:val="000000"/>
          <w:sz w:val="32"/>
          <w:szCs w:val="32"/>
        </w:rPr>
        <w:t>八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个人信息发生变化时，入库专家应及时登录系统填写更新信息，经审核后予以</w:t>
      </w:r>
      <w:r>
        <w:rPr>
          <w:rFonts w:hint="eastAsia" w:eastAsia="仿宋_GB2312"/>
          <w:color w:val="000000"/>
          <w:sz w:val="32"/>
          <w:szCs w:val="32"/>
        </w:rPr>
        <w:t>实时</w:t>
      </w:r>
      <w:r>
        <w:rPr>
          <w:rFonts w:eastAsia="仿宋_GB2312"/>
          <w:color w:val="000000"/>
          <w:sz w:val="32"/>
          <w:szCs w:val="32"/>
        </w:rPr>
        <w:t>更新。</w:t>
      </w:r>
      <w:r>
        <w:rPr>
          <w:rFonts w:hint="eastAsia" w:eastAsia="仿宋_GB2312"/>
          <w:color w:val="000000"/>
          <w:sz w:val="32"/>
          <w:szCs w:val="32"/>
        </w:rPr>
        <w:t>科技厅</w:t>
      </w:r>
      <w:r>
        <w:rPr>
          <w:rFonts w:eastAsia="仿宋_GB2312"/>
          <w:color w:val="000000"/>
          <w:sz w:val="32"/>
          <w:szCs w:val="32"/>
        </w:rPr>
        <w:t>委托</w:t>
      </w:r>
      <w:r>
        <w:rPr>
          <w:rFonts w:hint="eastAsia" w:eastAsia="仿宋_GB2312"/>
          <w:color w:val="000000"/>
          <w:sz w:val="32"/>
          <w:szCs w:val="32"/>
        </w:rPr>
        <w:t>第三方单位每年组织一次专家信息集中更新。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九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有下列情形之一的专家应予以出库：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（一）本人申请不再担任专家的；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因身体原因无法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保证完成相关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采取弄虚作假等不正当手段获取评审咨询资格，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存在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违反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诚信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行为的；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（四）履职评价为差的；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未能保护评审对象的知识产权和技术秘密，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擅自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传播、扩散有关评审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（咨询）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内部情况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（六）不公正履行专家职责，存在徇私舞弊或接受不正当利益行为的；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（七）触犯法律、法规被追究责任的；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（八）其他不适宜履行专家职责的情形。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存在严重科研失信行为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，根据相关规定被取消评审专家资格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专家，在取消评审资格期限内不得再次入库。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不公正履行专家职责，存在徇私舞弊或接受不正当利益行为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触犯法律、法规被追究责任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，根据相关规定给予相应处罚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专家，终身不得再次入库。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专家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选取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与使用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管理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从专家库中抽（选）取专家，应当遵循以下原则：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（一）回避原则。具有以下情形之一的，应予以回避：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1．与被评审对象有</w:t>
      </w:r>
      <w:r>
        <w:rPr>
          <w:rFonts w:hint="eastAsia" w:eastAsia="仿宋_GB2312"/>
          <w:color w:val="000000"/>
          <w:sz w:val="32"/>
          <w:szCs w:val="32"/>
        </w:rPr>
        <w:t>明显</w:t>
      </w:r>
      <w:r>
        <w:rPr>
          <w:rFonts w:eastAsia="仿宋_GB2312"/>
          <w:color w:val="000000"/>
          <w:sz w:val="32"/>
          <w:szCs w:val="32"/>
        </w:rPr>
        <w:t>利害关系的，包括项目负责人及项目组成员，抽（选）取专家</w:t>
      </w:r>
      <w:r>
        <w:rPr>
          <w:rFonts w:hint="eastAsia" w:eastAsia="仿宋_GB2312"/>
          <w:color w:val="000000"/>
          <w:sz w:val="32"/>
          <w:szCs w:val="32"/>
        </w:rPr>
        <w:t xml:space="preserve">时应予以回避。 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．</w:t>
      </w:r>
      <w:r>
        <w:rPr>
          <w:rFonts w:hint="eastAsia" w:eastAsia="仿宋_GB2312"/>
          <w:color w:val="000000"/>
          <w:sz w:val="32"/>
          <w:szCs w:val="32"/>
        </w:rPr>
        <w:t>与被评审</w:t>
      </w:r>
      <w:r>
        <w:rPr>
          <w:rFonts w:eastAsia="仿宋_GB2312"/>
          <w:color w:val="000000"/>
          <w:sz w:val="32"/>
          <w:szCs w:val="32"/>
        </w:rPr>
        <w:t>对象</w:t>
      </w:r>
      <w:r>
        <w:rPr>
          <w:rFonts w:hint="eastAsia" w:eastAsia="仿宋_GB2312"/>
          <w:color w:val="000000"/>
          <w:sz w:val="32"/>
          <w:szCs w:val="32"/>
        </w:rPr>
        <w:t>（项目）负责人有近亲属关系、师生关系以及其他重大利益关系，专家声明后应予以回避。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被评审对象因正当理由而事先正式书面申请希望回避的人员。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其他可能影响客观、公正评审（咨询）的情形。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</w:t>
      </w:r>
      <w:r>
        <w:rPr>
          <w:rFonts w:hint="eastAsia" w:eastAsia="仿宋_GB2312"/>
          <w:color w:val="000000"/>
          <w:sz w:val="32"/>
          <w:szCs w:val="32"/>
        </w:rPr>
        <w:t>同行评议</w:t>
      </w:r>
      <w:r>
        <w:rPr>
          <w:rFonts w:eastAsia="仿宋_GB2312"/>
          <w:color w:val="000000"/>
          <w:sz w:val="32"/>
          <w:szCs w:val="32"/>
        </w:rPr>
        <w:t>原则。</w:t>
      </w:r>
      <w:r>
        <w:rPr>
          <w:rFonts w:hint="eastAsia" w:eastAsia="仿宋_GB2312"/>
          <w:color w:val="000000"/>
          <w:sz w:val="32"/>
          <w:szCs w:val="32"/>
        </w:rPr>
        <w:t>评审以同行专家为主，并视需求邀请省内外技术专家、财务专家参与评审。评审专家原则上应主要选取活跃在科研一线、熟悉相关技术的专家参与评审。与产业应用结合紧密的项目，在条件允许时还应选取活跃在生产一线的专家参与评审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二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专家选用包括自动</w:t>
      </w:r>
      <w:r>
        <w:rPr>
          <w:rFonts w:hint="eastAsia" w:ascii="仿宋_GB2312" w:eastAsia="仿宋_GB2312"/>
          <w:sz w:val="32"/>
          <w:szCs w:val="28"/>
        </w:rPr>
        <w:t>匹配</w:t>
      </w:r>
      <w:r>
        <w:rPr>
          <w:rFonts w:eastAsia="仿宋_GB2312"/>
          <w:color w:val="000000"/>
          <w:sz w:val="32"/>
          <w:szCs w:val="32"/>
        </w:rPr>
        <w:t>抽取和择优选取两种方式。</w:t>
      </w:r>
      <w:r>
        <w:rPr>
          <w:rFonts w:hint="eastAsia" w:ascii="仿宋_GB2312" w:eastAsia="仿宋_GB2312"/>
          <w:sz w:val="32"/>
          <w:szCs w:val="28"/>
        </w:rPr>
        <w:t>采用网络评审的各类项目，省科技计划项目管理系统提供了“随机匹配”等</w:t>
      </w:r>
      <w:r>
        <w:rPr>
          <w:rFonts w:eastAsia="仿宋_GB2312"/>
          <w:color w:val="000000"/>
          <w:sz w:val="32"/>
          <w:szCs w:val="32"/>
        </w:rPr>
        <w:t>自动</w:t>
      </w:r>
      <w:r>
        <w:rPr>
          <w:rFonts w:hint="eastAsia" w:ascii="仿宋_GB2312" w:eastAsia="仿宋_GB2312"/>
          <w:sz w:val="32"/>
          <w:szCs w:val="28"/>
        </w:rPr>
        <w:t>匹配</w:t>
      </w:r>
      <w:r>
        <w:rPr>
          <w:rFonts w:eastAsia="仿宋_GB2312"/>
          <w:color w:val="000000"/>
          <w:sz w:val="32"/>
          <w:szCs w:val="32"/>
        </w:rPr>
        <w:t>抽取</w:t>
      </w:r>
      <w:r>
        <w:rPr>
          <w:rFonts w:hint="eastAsia" w:ascii="仿宋_GB2312" w:eastAsia="仿宋_GB2312"/>
          <w:sz w:val="32"/>
          <w:szCs w:val="28"/>
        </w:rPr>
        <w:t>功能模块，在网络评审匹配专家时，一般采取自动匹配的抽取方式，应提高项目自动匹配比率。项目</w:t>
      </w:r>
      <w:r>
        <w:rPr>
          <w:rFonts w:hint="eastAsia" w:eastAsia="仿宋_GB2312"/>
          <w:color w:val="000000"/>
          <w:sz w:val="32"/>
          <w:szCs w:val="32"/>
        </w:rPr>
        <w:t>采用会议评审方式的，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执行专家使用与抽取相分离的原则，</w:t>
      </w:r>
      <w:r>
        <w:rPr>
          <w:rFonts w:hint="eastAsia" w:ascii="仿宋_GB2312" w:eastAsia="仿宋_GB2312"/>
          <w:color w:val="000000"/>
          <w:sz w:val="32"/>
          <w:szCs w:val="32"/>
        </w:rPr>
        <w:t>业务部门提出会议评审专家需求，通过会议评审专家抽取模块随机抽取专家，监督部门对抽取流程和</w:t>
      </w:r>
      <w:r>
        <w:rPr>
          <w:rFonts w:hint="eastAsia" w:eastAsia="仿宋_GB2312"/>
          <w:color w:val="000000"/>
          <w:sz w:val="32"/>
          <w:szCs w:val="32"/>
        </w:rPr>
        <w:t>专家名单</w:t>
      </w:r>
      <w:r>
        <w:rPr>
          <w:rFonts w:hint="eastAsia" w:ascii="仿宋_GB2312" w:eastAsia="仿宋_GB2312"/>
          <w:color w:val="000000"/>
          <w:sz w:val="32"/>
          <w:szCs w:val="32"/>
        </w:rPr>
        <w:t>进行监督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三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省科技厅</w:t>
      </w:r>
      <w:r>
        <w:rPr>
          <w:rFonts w:hint="eastAsia" w:ascii="仿宋_GB2312" w:eastAsia="仿宋_GB2312"/>
          <w:color w:val="000000"/>
          <w:sz w:val="32"/>
          <w:szCs w:val="32"/>
        </w:rPr>
        <w:t>监督部门</w:t>
      </w:r>
      <w:r>
        <w:rPr>
          <w:rFonts w:hint="eastAsia" w:eastAsia="仿宋_GB2312"/>
          <w:color w:val="000000"/>
          <w:sz w:val="32"/>
          <w:szCs w:val="32"/>
        </w:rPr>
        <w:t>对</w:t>
      </w:r>
      <w:r>
        <w:rPr>
          <w:rFonts w:eastAsia="仿宋_GB2312"/>
          <w:color w:val="000000"/>
          <w:sz w:val="32"/>
          <w:szCs w:val="32"/>
        </w:rPr>
        <w:t>专家抽（选）取工作全过程监督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专家库专家数量、质量</w:t>
      </w:r>
      <w:r>
        <w:rPr>
          <w:rFonts w:hint="eastAsia" w:eastAsia="仿宋_GB2312"/>
          <w:color w:val="000000"/>
          <w:sz w:val="32"/>
          <w:szCs w:val="32"/>
        </w:rPr>
        <w:t>、技术领域</w:t>
      </w:r>
      <w:r>
        <w:rPr>
          <w:rFonts w:eastAsia="仿宋_GB2312"/>
          <w:color w:val="000000"/>
          <w:sz w:val="32"/>
          <w:szCs w:val="32"/>
        </w:rPr>
        <w:t>不能满足</w:t>
      </w:r>
      <w:r>
        <w:rPr>
          <w:rFonts w:hint="eastAsia" w:eastAsia="仿宋_GB2312"/>
          <w:color w:val="000000"/>
          <w:sz w:val="32"/>
          <w:szCs w:val="32"/>
        </w:rPr>
        <w:t>具体业务</w:t>
      </w:r>
      <w:r>
        <w:rPr>
          <w:rFonts w:eastAsia="仿宋_GB2312"/>
          <w:color w:val="000000"/>
          <w:sz w:val="32"/>
          <w:szCs w:val="32"/>
        </w:rPr>
        <w:t>要求的，</w:t>
      </w:r>
      <w:r>
        <w:rPr>
          <w:rFonts w:hint="eastAsia" w:eastAsia="仿宋_GB2312"/>
          <w:color w:val="000000"/>
          <w:sz w:val="32"/>
          <w:szCs w:val="32"/>
        </w:rPr>
        <w:t>可以</w:t>
      </w:r>
      <w:r>
        <w:rPr>
          <w:rFonts w:eastAsia="仿宋_GB2312"/>
          <w:color w:val="000000"/>
          <w:sz w:val="32"/>
          <w:szCs w:val="32"/>
        </w:rPr>
        <w:t>紧急邀请专家入库。</w:t>
      </w:r>
      <w:r>
        <w:rPr>
          <w:rFonts w:hint="eastAsia" w:eastAsia="仿宋_GB2312"/>
          <w:color w:val="000000"/>
          <w:sz w:val="32"/>
          <w:szCs w:val="32"/>
        </w:rPr>
        <w:t>为保障专家科研时间，</w:t>
      </w:r>
      <w:r>
        <w:rPr>
          <w:rFonts w:eastAsia="仿宋_GB2312"/>
          <w:color w:val="000000"/>
          <w:sz w:val="32"/>
          <w:szCs w:val="32"/>
        </w:rPr>
        <w:t>原则上专家每年参与科技</w:t>
      </w:r>
      <w:r>
        <w:rPr>
          <w:rFonts w:hint="eastAsia" w:eastAsia="仿宋_GB2312"/>
          <w:color w:val="000000"/>
          <w:sz w:val="32"/>
          <w:szCs w:val="32"/>
        </w:rPr>
        <w:t>计划项目立项会议</w:t>
      </w:r>
      <w:r>
        <w:rPr>
          <w:rFonts w:eastAsia="仿宋_GB2312"/>
          <w:color w:val="000000"/>
          <w:sz w:val="32"/>
          <w:szCs w:val="32"/>
        </w:rPr>
        <w:t>评审活动不超过10次。</w:t>
      </w:r>
    </w:p>
    <w:p>
      <w:pPr>
        <w:pStyle w:val="8"/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四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业务部门应及时通知候选专家并确认参与专家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。在设定时间内未收到专家回复，或确认参与的专家数量不能满足要求的，按照设定的条件再次抽取，直至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达到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专家数量要求。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在会议评审时，为避免专家现场回避导致专家数量不符合要求，业务部门应有预案，或已有</w:t>
      </w:r>
      <w:r>
        <w:rPr>
          <w:rFonts w:eastAsia="仿宋_GB2312"/>
          <w:color w:val="000000"/>
          <w:sz w:val="32"/>
          <w:szCs w:val="32"/>
        </w:rPr>
        <w:t>报</w:t>
      </w:r>
      <w:r>
        <w:rPr>
          <w:rFonts w:hint="eastAsia" w:ascii="仿宋_GB2312" w:eastAsia="仿宋_GB2312"/>
          <w:color w:val="000000"/>
          <w:sz w:val="32"/>
          <w:szCs w:val="32"/>
        </w:rPr>
        <w:t>监督部门</w:t>
      </w:r>
      <w:r>
        <w:rPr>
          <w:rFonts w:hint="eastAsia" w:eastAsia="仿宋_GB2312"/>
          <w:color w:val="000000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替补专家。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专家权利与责任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五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专家受邀进行评审评估，独立提出评审评估意见及表决，不受任何单位或者个人的干预。专家根据有关规定，接受专家咨询费等劳务报酬和交通食宿保障。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六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专家应当认真执行评审评估、验收结题的有关政策规定和评审纪律，遵循公平、公正、客观、科学的原则履行职责，对所提出的评审评估意见承担个人责任。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七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专家不得违反回避制度要求，参与评审评估的活动与本人有重大利害关系，影响公正履行职责的，专家应当主动申请回避。不与被评审评估对象单位及利害关系人进行私下接触，不得接受或索取被评审评估对象单位和人员的馈赠、宴请或其他不正当利益。专家不得抄袭、剽窃咨询评审对象的科学技术成果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hint="eastAsia" w:eastAsia="黑体"/>
          <w:color w:val="000000"/>
          <w:sz w:val="32"/>
          <w:szCs w:val="32"/>
        </w:rPr>
        <w:t>八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专家应当遵守所参与的科技评审、评估和验收工作保密规定，不得泄露活动过程中知悉的技术秘密、商业秘密以及其他不宜公开的事宜。因泄密给相关科技工作造成不良影响和损失的，泄密专家应承担相应的法律责任。</w:t>
      </w:r>
    </w:p>
    <w:p>
      <w:pPr>
        <w:spacing w:line="600" w:lineRule="exact"/>
        <w:ind w:firstLine="640" w:firstLineChars="200"/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跟踪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评价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管理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hint="eastAsia" w:eastAsia="黑体"/>
          <w:color w:val="000000"/>
          <w:sz w:val="32"/>
          <w:szCs w:val="32"/>
        </w:rPr>
        <w:t>十九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加强</w:t>
      </w:r>
      <w:r>
        <w:rPr>
          <w:rFonts w:eastAsia="仿宋_GB2312"/>
          <w:color w:val="000000"/>
          <w:sz w:val="32"/>
          <w:szCs w:val="32"/>
        </w:rPr>
        <w:t>信息系统建设，</w:t>
      </w:r>
      <w:r>
        <w:rPr>
          <w:rFonts w:hint="eastAsia" w:eastAsia="仿宋_GB2312"/>
          <w:color w:val="000000"/>
          <w:sz w:val="32"/>
          <w:szCs w:val="32"/>
        </w:rPr>
        <w:t>推进线下线上业务融合，</w:t>
      </w:r>
      <w:r>
        <w:rPr>
          <w:rFonts w:eastAsia="仿宋_GB2312"/>
          <w:color w:val="000000"/>
          <w:sz w:val="32"/>
          <w:szCs w:val="32"/>
        </w:rPr>
        <w:t>对专家抽（选）取、专家回避、专家评审、专家评价等操作全程留痕，做到可查询、可申诉、可追溯。省科技厅</w:t>
      </w:r>
      <w:r>
        <w:rPr>
          <w:rFonts w:hint="eastAsia" w:eastAsia="仿宋_GB2312"/>
          <w:color w:val="000000"/>
          <w:sz w:val="32"/>
          <w:szCs w:val="32"/>
        </w:rPr>
        <w:t>监督部门对</w:t>
      </w:r>
      <w:r>
        <w:rPr>
          <w:rFonts w:eastAsia="仿宋_GB2312"/>
          <w:color w:val="000000"/>
          <w:sz w:val="32"/>
          <w:szCs w:val="32"/>
        </w:rPr>
        <w:t>专家</w:t>
      </w:r>
      <w:r>
        <w:rPr>
          <w:rFonts w:hint="eastAsia" w:eastAsia="仿宋_GB2312"/>
          <w:color w:val="000000"/>
          <w:sz w:val="32"/>
          <w:szCs w:val="32"/>
        </w:rPr>
        <w:t>评审评估</w:t>
      </w:r>
      <w:r>
        <w:rPr>
          <w:rFonts w:eastAsia="仿宋_GB2312"/>
          <w:color w:val="000000"/>
          <w:sz w:val="32"/>
          <w:szCs w:val="32"/>
        </w:rPr>
        <w:t>工作全过程监督</w:t>
      </w:r>
      <w:r>
        <w:rPr>
          <w:rFonts w:hint="eastAsia" w:eastAsia="仿宋_GB2312"/>
          <w:color w:val="000000"/>
          <w:sz w:val="32"/>
          <w:szCs w:val="32"/>
        </w:rPr>
        <w:t>，对违规情形予以纠正和处理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27" w:firstLineChars="196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第二十条</w:t>
      </w:r>
      <w:r>
        <w:rPr>
          <w:rFonts w:hint="eastAsia"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科技评审</w:t>
      </w:r>
      <w:r>
        <w:rPr>
          <w:rFonts w:hint="eastAsia" w:eastAsia="仿宋_GB2312"/>
          <w:color w:val="000000"/>
          <w:sz w:val="32"/>
          <w:szCs w:val="32"/>
        </w:rPr>
        <w:t>评估</w:t>
      </w:r>
      <w:r>
        <w:rPr>
          <w:rFonts w:eastAsia="仿宋_GB2312"/>
          <w:color w:val="000000"/>
          <w:sz w:val="32"/>
          <w:szCs w:val="32"/>
        </w:rPr>
        <w:t>（咨询）活动</w:t>
      </w:r>
      <w:r>
        <w:rPr>
          <w:rFonts w:hint="eastAsia" w:eastAsia="仿宋_GB2312"/>
          <w:color w:val="000000"/>
          <w:sz w:val="32"/>
          <w:szCs w:val="32"/>
        </w:rPr>
        <w:t>过程中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评审评估组织单位或部门发现专家信息失真或过时，应及时在线标注；对专家的</w:t>
      </w:r>
      <w:r>
        <w:rPr>
          <w:rFonts w:eastAsia="仿宋_GB2312"/>
          <w:color w:val="000000"/>
          <w:sz w:val="32"/>
          <w:szCs w:val="32"/>
        </w:rPr>
        <w:t>工作态度、业务水平、质量规范等方面履职情况进行评价</w:t>
      </w:r>
      <w:r>
        <w:rPr>
          <w:rFonts w:hint="eastAsia" w:eastAsia="仿宋_GB2312"/>
          <w:color w:val="000000"/>
          <w:sz w:val="32"/>
          <w:szCs w:val="32"/>
        </w:rPr>
        <w:t>，重点关注表现优秀和表现不佳的专家；对专家评审过程中异常现象要予以记录和报告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标注信息和</w:t>
      </w:r>
      <w:r>
        <w:rPr>
          <w:rFonts w:eastAsia="仿宋_GB2312"/>
          <w:color w:val="000000"/>
          <w:sz w:val="32"/>
          <w:szCs w:val="32"/>
        </w:rPr>
        <w:t>评价</w:t>
      </w:r>
      <w:r>
        <w:rPr>
          <w:rFonts w:hint="eastAsia" w:eastAsia="仿宋_GB2312"/>
          <w:color w:val="000000"/>
          <w:sz w:val="32"/>
          <w:szCs w:val="32"/>
        </w:rPr>
        <w:t>信息</w:t>
      </w:r>
      <w:r>
        <w:rPr>
          <w:rFonts w:eastAsia="仿宋_GB2312"/>
          <w:color w:val="000000"/>
          <w:sz w:val="32"/>
          <w:szCs w:val="32"/>
        </w:rPr>
        <w:t>作为专家库的日常运行维护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专家抽（选）取的重要参考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评审评估组织单位</w:t>
      </w:r>
      <w:r>
        <w:rPr>
          <w:rFonts w:hint="eastAsia" w:eastAsia="仿宋_GB2312"/>
          <w:color w:val="000000"/>
          <w:sz w:val="32"/>
          <w:szCs w:val="32"/>
        </w:rPr>
        <w:t>或部门发现专家</w:t>
      </w:r>
      <w:r>
        <w:rPr>
          <w:rFonts w:eastAsia="仿宋_GB2312"/>
          <w:color w:val="000000"/>
          <w:sz w:val="32"/>
          <w:szCs w:val="32"/>
        </w:rPr>
        <w:t>存在擅自披露科技评审（咨询）活动所涉及的重要信息、徇私舞弊或接受不正当利益行为等严重违反科技评审（咨询）工作纪律和保密规定</w:t>
      </w:r>
      <w:r>
        <w:rPr>
          <w:rFonts w:hint="eastAsia" w:eastAsia="仿宋_GB2312"/>
          <w:color w:val="000000"/>
          <w:sz w:val="32"/>
          <w:szCs w:val="32"/>
        </w:rPr>
        <w:t>情形</w:t>
      </w:r>
      <w:r>
        <w:rPr>
          <w:rFonts w:eastAsia="仿宋_GB2312"/>
          <w:color w:val="000000"/>
          <w:sz w:val="32"/>
          <w:szCs w:val="32"/>
        </w:rPr>
        <w:t>的，</w:t>
      </w:r>
      <w:r>
        <w:rPr>
          <w:rFonts w:hint="eastAsia" w:eastAsia="仿宋_GB2312"/>
          <w:color w:val="000000"/>
          <w:sz w:val="32"/>
          <w:szCs w:val="32"/>
        </w:rPr>
        <w:t>应向科技厅监督部门报告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负责专家库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日常运维的第三方单位要认真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日常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运维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管理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职责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和保密</w:t>
      </w:r>
      <w:r>
        <w:rPr>
          <w:rFonts w:hint="eastAsia" w:ascii="仿宋_GB2312" w:eastAsia="仿宋_GB2312"/>
          <w:bCs/>
          <w:sz w:val="30"/>
          <w:szCs w:val="30"/>
        </w:rPr>
        <w:t>承诺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单位和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私自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外传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、转让或出售专家库中的信息和资料；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泄露需保密的专家名单、专家意见、评审（咨询）结论等信息。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如违反保密</w:t>
      </w:r>
      <w:r>
        <w:rPr>
          <w:rFonts w:hint="eastAsia" w:ascii="仿宋_GB2312" w:eastAsia="仿宋_GB2312"/>
          <w:bCs/>
          <w:sz w:val="30"/>
          <w:szCs w:val="30"/>
        </w:rPr>
        <w:t>承诺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应承担相应的合同违约及法律责任。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第二十三条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市县科技部门和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单位科技评审（咨询）活动中，需使用科技专家库的专家资源，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应通过信息系统提出专家共享申请或书面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向省科技厅提出申请，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省科技厅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同意后在申请事项范围内规范使用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并严格执行专家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信息不外泄等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规定。</w:t>
      </w:r>
    </w:p>
    <w:p>
      <w:pPr>
        <w:pStyle w:val="8"/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overflowPunct w:val="0"/>
        <w:spacing w:line="6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附则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四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本办法由福建省科学技术厅负责解释。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二十五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公布之日起施行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/>
    <w:bookmarkEnd w:id="2"/>
    <w:p>
      <w:pPr>
        <w:ind w:firstLine="420" w:firstLineChars="0"/>
        <w:rPr>
          <w:rFonts w:hint="default" w:eastAsia="仿宋_GB2312"/>
          <w:lang w:val="en-US" w:eastAsia="zh-CN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</w:p>
    <w:p>
      <w:pPr>
        <w:snapToGrid w:val="0"/>
        <w:spacing w:line="600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9420860</wp:posOffset>
                </wp:positionV>
                <wp:extent cx="5610225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741.8pt;height:0pt;width:441.75pt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38nj9gAAAALAQAADwAAAAAAAAABACAAAAAiAAAAZHJzL2Rvd25yZXYueG1sUEsB&#10;AhQAFAAAAAgAh07iQMCx67r1AQAA5Q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napToGrid w:val="0"/>
        <w:spacing w:line="600" w:lineRule="exact"/>
        <w:rPr>
          <w:rFonts w:hint="eastAsia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ge">
                  <wp:posOffset>9050020</wp:posOffset>
                </wp:positionV>
                <wp:extent cx="5617845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5pt;margin-top:712.6pt;height:0pt;width:442.35pt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2rdIM2QAAAAwBAAAPAAAAAAAAAAEAIAAAACIAAABkcnMvZG93bnJldi54bWxQ&#10;SwECFAAUAAAACACHTuJAt0dtSvYBAADlAwAADgAAAAAAAAABACAAAAAo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page">
                  <wp:posOffset>9030335</wp:posOffset>
                </wp:positionV>
                <wp:extent cx="5894705" cy="39624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7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20" w:firstLineChars="100"/>
                              <w:rPr>
                                <w:rFonts w:hint="eastAsia" w:ascii="方正仿宋_GBK" w:hAnsi="方正仿宋_GBK" w:eastAsia="方正仿宋_GBK" w:cs="方正仿宋_GBK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福建省科学技术厅办公室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val="en" w:eastAsia="zh-CN"/>
                              </w:rPr>
                              <w:t>2021年7月6日印发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711.05pt;height:31.2pt;width:464.15pt;mso-position-horizontal-relative:margin;mso-position-vertical-relative:page;mso-wrap-distance-bottom:0pt;mso-wrap-distance-top:0pt;z-index:251665408;mso-width-relative:page;mso-height-relative:page;" filled="f" stroked="f" coordsize="21600,21600" o:gfxdata="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JvDV4toAAAAMAQAADwAAAAAAAAABACAAAAAiAAAAZHJzL2Rvd25yZXYueG1s&#10;UEsBAhQAFAAAAAgAh07iQOAbRaS9AQAAcg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320" w:firstLineChars="100"/>
                        <w:rPr>
                          <w:rFonts w:hint="eastAsia" w:ascii="方正仿宋_GBK" w:hAnsi="方正仿宋_GBK" w:eastAsia="方正仿宋_GBK" w:cs="方正仿宋_GBK"/>
                          <w:lang w:val="en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福建省科学技术厅办公室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lang w:val="en" w:eastAsia="zh-CN"/>
                        </w:rPr>
                        <w:t>2021年7月6日印发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1418" w:gutter="0"/>
      <w:pgNumType w:fmt="numberInDash"/>
      <w:cols w:space="425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8"/>
      </w:rPr>
    </w:pP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2</w:t>
    </w:r>
    <w:r>
      <w:rPr>
        <w:rStyle w:val="7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D1937"/>
    <w:multiLevelType w:val="multilevel"/>
    <w:tmpl w:val="684D1937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46FA5"/>
    <w:rsid w:val="03081830"/>
    <w:rsid w:val="0CB21492"/>
    <w:rsid w:val="0DA10D87"/>
    <w:rsid w:val="16121EA6"/>
    <w:rsid w:val="1E31185C"/>
    <w:rsid w:val="37B20166"/>
    <w:rsid w:val="384B789B"/>
    <w:rsid w:val="388E6C80"/>
    <w:rsid w:val="3E843220"/>
    <w:rsid w:val="48676643"/>
    <w:rsid w:val="4EBE2689"/>
    <w:rsid w:val="58AD6188"/>
    <w:rsid w:val="65C958D3"/>
    <w:rsid w:val="66F731EF"/>
    <w:rsid w:val="6BB46FA5"/>
    <w:rsid w:val="6E09583A"/>
    <w:rsid w:val="6FF7E284"/>
    <w:rsid w:val="745C04B2"/>
    <w:rsid w:val="76EF13EF"/>
    <w:rsid w:val="777D47CF"/>
    <w:rsid w:val="79361767"/>
    <w:rsid w:val="796671E3"/>
    <w:rsid w:val="7C7A2F3E"/>
    <w:rsid w:val="7EF62ECD"/>
    <w:rsid w:val="8F778845"/>
    <w:rsid w:val="BC754911"/>
    <w:rsid w:val="DFBFC97D"/>
    <w:rsid w:val="ECBD2308"/>
    <w:rsid w:val="EF7F23F4"/>
    <w:rsid w:val="FBF7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2020-12-23T15:17:00Z</dcterms:created>
  <dc:creator>福建省科技厅</dc:creator>
  <cp:lastModifiedBy>xxjs</cp:lastModifiedBy>
  <cp:lastPrinted>2021-07-06T17:36:00Z</cp:lastPrinted>
  <dcterms:modified xsi:type="dcterms:W3CDTF">2021-07-06T02:56:29Z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ReadHeadColor">
    <vt:i4>255</vt:i4>
  </property>
  <property fmtid="{D5CDD505-2E9C-101B-9397-08002B2CF9AE}" pid="4" name="ICV">
    <vt:lpwstr>B4E20D69E01145CA8114D3909E3721C1</vt:lpwstr>
  </property>
</Properties>
</file>